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0DFA" w14:textId="77777777" w:rsidR="00661BFD" w:rsidRPr="00352CD9" w:rsidRDefault="00661BFD" w:rsidP="00661BFD">
      <w:pPr>
        <w:rPr>
          <w:rFonts w:ascii="Times New Roman" w:hAnsi="Times New Roman" w:cs="Times New Roman"/>
          <w:sz w:val="24"/>
          <w:szCs w:val="24"/>
        </w:rPr>
      </w:pPr>
      <w:r w:rsidRPr="00352CD9">
        <w:rPr>
          <w:rFonts w:ascii="Times New Roman" w:hAnsi="Times New Roman" w:cs="Times New Roman"/>
          <w:sz w:val="24"/>
          <w:szCs w:val="24"/>
        </w:rPr>
        <w:t>Draft Resolution Guidelines</w:t>
      </w:r>
    </w:p>
    <w:p w14:paraId="629EFD25" w14:textId="77777777" w:rsidR="00661BFD" w:rsidRPr="00352CD9" w:rsidRDefault="00661BFD" w:rsidP="00661BFD">
      <w:pPr>
        <w:rPr>
          <w:rFonts w:ascii="Times New Roman" w:hAnsi="Times New Roman" w:cs="Times New Roman"/>
          <w:sz w:val="24"/>
          <w:szCs w:val="24"/>
        </w:rPr>
      </w:pPr>
    </w:p>
    <w:p w14:paraId="08625FAB" w14:textId="77777777" w:rsidR="00661BFD" w:rsidRPr="00352CD9" w:rsidRDefault="00661BFD" w:rsidP="00661BFD">
      <w:pPr>
        <w:rPr>
          <w:rFonts w:ascii="Times New Roman" w:hAnsi="Times New Roman" w:cs="Times New Roman"/>
          <w:sz w:val="24"/>
          <w:szCs w:val="24"/>
        </w:rPr>
      </w:pPr>
      <w:r w:rsidRPr="00352CD9">
        <w:rPr>
          <w:rFonts w:ascii="Times New Roman" w:hAnsi="Times New Roman" w:cs="Times New Roman"/>
          <w:sz w:val="24"/>
          <w:szCs w:val="24"/>
        </w:rPr>
        <w:t>General Guidelines:</w:t>
      </w:r>
    </w:p>
    <w:p w14:paraId="40FCD3D3" w14:textId="77777777" w:rsidR="00661BFD" w:rsidRPr="00352CD9" w:rsidRDefault="00661BFD" w:rsidP="00661BFD">
      <w:pPr>
        <w:rPr>
          <w:rFonts w:ascii="Times New Roman" w:hAnsi="Times New Roman" w:cs="Times New Roman"/>
          <w:sz w:val="24"/>
          <w:szCs w:val="24"/>
        </w:rPr>
      </w:pPr>
    </w:p>
    <w:p w14:paraId="3E57220A" w14:textId="77777777" w:rsidR="00661BFD" w:rsidRPr="00352CD9" w:rsidRDefault="00661BFD" w:rsidP="00661BFD">
      <w:pPr>
        <w:pStyle w:val="a5"/>
        <w:numPr>
          <w:ilvl w:val="0"/>
          <w:numId w:val="2"/>
        </w:numPr>
        <w:ind w:leftChars="0"/>
        <w:rPr>
          <w:rFonts w:ascii="Times New Roman" w:hAnsi="Times New Roman" w:cs="Times New Roman"/>
          <w:b/>
          <w:bCs/>
          <w:sz w:val="24"/>
          <w:szCs w:val="24"/>
        </w:rPr>
      </w:pPr>
      <w:r w:rsidRPr="00352CD9">
        <w:rPr>
          <w:rFonts w:ascii="Times New Roman" w:hAnsi="Times New Roman" w:cs="Times New Roman"/>
          <w:sz w:val="24"/>
          <w:szCs w:val="24"/>
        </w:rPr>
        <w:t xml:space="preserve">All resolutions must be in </w:t>
      </w:r>
      <w:r w:rsidRPr="00352CD9">
        <w:rPr>
          <w:rFonts w:ascii="Times New Roman" w:hAnsi="Times New Roman" w:cs="Times New Roman"/>
          <w:b/>
          <w:bCs/>
          <w:sz w:val="24"/>
          <w:szCs w:val="24"/>
        </w:rPr>
        <w:t>Times New Roman</w:t>
      </w:r>
      <w:r w:rsidRPr="00352CD9">
        <w:rPr>
          <w:rFonts w:ascii="Times New Roman" w:hAnsi="Times New Roman" w:cs="Times New Roman"/>
          <w:sz w:val="24"/>
          <w:szCs w:val="24"/>
        </w:rPr>
        <w:t xml:space="preserve">, </w:t>
      </w:r>
      <w:r w:rsidRPr="00352CD9">
        <w:rPr>
          <w:rFonts w:ascii="Times New Roman" w:hAnsi="Times New Roman" w:cs="Times New Roman"/>
          <w:b/>
          <w:bCs/>
          <w:sz w:val="24"/>
          <w:szCs w:val="24"/>
        </w:rPr>
        <w:t>11 point</w:t>
      </w:r>
    </w:p>
    <w:p w14:paraId="2FC1B20D"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sz w:val="24"/>
          <w:szCs w:val="24"/>
        </w:rPr>
        <w:t xml:space="preserve">Nothing should be </w:t>
      </w:r>
      <w:r w:rsidRPr="00352CD9">
        <w:rPr>
          <w:rFonts w:ascii="Times New Roman" w:hAnsi="Times New Roman" w:cs="Times New Roman"/>
          <w:b/>
          <w:bCs/>
          <w:sz w:val="24"/>
          <w:szCs w:val="24"/>
        </w:rPr>
        <w:t>bolded</w:t>
      </w:r>
      <w:r w:rsidRPr="00352CD9">
        <w:rPr>
          <w:rFonts w:ascii="Times New Roman" w:hAnsi="Times New Roman" w:cs="Times New Roman"/>
          <w:sz w:val="24"/>
          <w:szCs w:val="24"/>
        </w:rPr>
        <w:t xml:space="preserve"> or </w:t>
      </w:r>
      <w:r w:rsidRPr="00352CD9">
        <w:rPr>
          <w:rFonts w:ascii="Times New Roman" w:hAnsi="Times New Roman" w:cs="Times New Roman"/>
          <w:b/>
          <w:bCs/>
          <w:sz w:val="24"/>
          <w:szCs w:val="24"/>
        </w:rPr>
        <w:t>colored</w:t>
      </w:r>
    </w:p>
    <w:p w14:paraId="34D85D16"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sz w:val="24"/>
          <w:szCs w:val="24"/>
        </w:rPr>
        <w:t>Lines and pages are not to be numbered</w:t>
      </w:r>
    </w:p>
    <w:p w14:paraId="6B77EFF4"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sz w:val="24"/>
          <w:szCs w:val="24"/>
        </w:rPr>
        <w:t xml:space="preserve">Paragraph spacing must be </w:t>
      </w:r>
      <w:r w:rsidRPr="00352CD9">
        <w:rPr>
          <w:rFonts w:ascii="Times New Roman" w:hAnsi="Times New Roman" w:cs="Times New Roman"/>
          <w:b/>
          <w:bCs/>
          <w:sz w:val="24"/>
          <w:szCs w:val="24"/>
        </w:rPr>
        <w:t>1.15</w:t>
      </w:r>
    </w:p>
    <w:p w14:paraId="733D511C"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sz w:val="24"/>
          <w:szCs w:val="24"/>
        </w:rPr>
        <w:t xml:space="preserve">There should be </w:t>
      </w:r>
      <w:r w:rsidRPr="00352CD9">
        <w:rPr>
          <w:rFonts w:ascii="Times New Roman" w:hAnsi="Times New Roman" w:cs="Times New Roman"/>
          <w:b/>
          <w:bCs/>
          <w:sz w:val="24"/>
          <w:szCs w:val="24"/>
        </w:rPr>
        <w:t>one skipped line</w:t>
      </w:r>
      <w:r w:rsidRPr="00352CD9">
        <w:rPr>
          <w:rFonts w:ascii="Times New Roman" w:hAnsi="Times New Roman" w:cs="Times New Roman"/>
          <w:sz w:val="24"/>
          <w:szCs w:val="24"/>
        </w:rPr>
        <w:t xml:space="preserve"> between clauses</w:t>
      </w:r>
    </w:p>
    <w:p w14:paraId="125D878D" w14:textId="58DF5E6E"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sz w:val="24"/>
          <w:szCs w:val="24"/>
        </w:rPr>
        <w:t xml:space="preserve">Acronyms and abbreviations </w:t>
      </w:r>
      <w:r w:rsidR="006B2E81" w:rsidRPr="00352CD9">
        <w:rPr>
          <w:rFonts w:ascii="Times New Roman" w:hAnsi="Times New Roman" w:cs="Times New Roman"/>
          <w:sz w:val="24"/>
          <w:szCs w:val="24"/>
        </w:rPr>
        <w:t>must</w:t>
      </w:r>
      <w:r w:rsidRPr="00352CD9">
        <w:rPr>
          <w:rFonts w:ascii="Times New Roman" w:hAnsi="Times New Roman" w:cs="Times New Roman"/>
          <w:sz w:val="24"/>
          <w:szCs w:val="24"/>
        </w:rPr>
        <w:t xml:space="preserve"> be written out fully, followed with a space and the abbreviations inside small brackets but only in their first occurrences. Only the abbreviation is to be written after the first occurrence.</w:t>
      </w:r>
    </w:p>
    <w:p w14:paraId="2925E0C0" w14:textId="77777777" w:rsidR="00661BFD" w:rsidRPr="00352CD9" w:rsidRDefault="00661BFD" w:rsidP="00661BFD">
      <w:pPr>
        <w:pStyle w:val="a5"/>
        <w:ind w:leftChars="0" w:left="760"/>
        <w:rPr>
          <w:rFonts w:ascii="Times New Roman" w:hAnsi="Times New Roman" w:cs="Times New Roman"/>
          <w:sz w:val="24"/>
          <w:szCs w:val="24"/>
        </w:rPr>
      </w:pPr>
      <w:r w:rsidRPr="00352CD9">
        <w:rPr>
          <w:rFonts w:ascii="Times New Roman" w:hAnsi="Times New Roman" w:cs="Times New Roman"/>
          <w:sz w:val="24"/>
          <w:szCs w:val="24"/>
        </w:rPr>
        <w:t>e.g.) (first occurrence) Office of the High Commissioner for Human Rights (OHCHR)</w:t>
      </w:r>
    </w:p>
    <w:p w14:paraId="2D2BE5E4" w14:textId="77777777" w:rsidR="00661BFD" w:rsidRPr="00352CD9" w:rsidRDefault="00661BFD" w:rsidP="00661BFD">
      <w:pPr>
        <w:pStyle w:val="a5"/>
        <w:ind w:leftChars="0" w:left="760"/>
        <w:rPr>
          <w:rFonts w:ascii="Times New Roman" w:hAnsi="Times New Roman" w:cs="Times New Roman"/>
          <w:sz w:val="24"/>
          <w:szCs w:val="24"/>
        </w:rPr>
      </w:pPr>
      <w:r w:rsidRPr="00352CD9">
        <w:rPr>
          <w:rFonts w:ascii="Times New Roman" w:hAnsi="Times New Roman" w:cs="Times New Roman"/>
          <w:sz w:val="24"/>
          <w:szCs w:val="24"/>
        </w:rPr>
        <w:t>e.g.) (second occurrence) OHCHR</w:t>
      </w:r>
    </w:p>
    <w:p w14:paraId="081F21E4"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sz w:val="24"/>
          <w:szCs w:val="24"/>
        </w:rPr>
        <w:t>Numbering should be in coherence to the following guidelines:</w:t>
      </w:r>
    </w:p>
    <w:p w14:paraId="2D63D4F0"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 xml:space="preserve">Preambulatory clauses </w:t>
      </w:r>
      <w:r w:rsidRPr="00352CD9">
        <w:rPr>
          <w:rFonts w:ascii="Times New Roman" w:hAnsi="Times New Roman" w:cs="Times New Roman"/>
          <w:b/>
          <w:bCs/>
          <w:kern w:val="0"/>
          <w:sz w:val="24"/>
          <w:szCs w:val="24"/>
        </w:rPr>
        <w:t xml:space="preserve">are not </w:t>
      </w:r>
      <w:r w:rsidRPr="00352CD9">
        <w:rPr>
          <w:rFonts w:ascii="Times New Roman" w:hAnsi="Times New Roman" w:cs="Times New Roman"/>
          <w:kern w:val="0"/>
          <w:sz w:val="24"/>
          <w:szCs w:val="24"/>
        </w:rPr>
        <w:t>numbered</w:t>
      </w:r>
    </w:p>
    <w:p w14:paraId="69ECBC00"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Operative clauses are numbered in Arabic numerals (1. , 2. , 3. , etc.)</w:t>
      </w:r>
    </w:p>
    <w:p w14:paraId="39F52A69"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Sub-clauses begin with lowercase English alphabets (a. , b. , c. , etc.)</w:t>
      </w:r>
    </w:p>
    <w:p w14:paraId="0D68D2E4"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Sub-sub-clauses begin with lowercase Roman numerals (i. , ii. , iii. , etc.) but are read out the same as Arabic numerals</w:t>
      </w:r>
    </w:p>
    <w:p w14:paraId="096F3904"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The first word of every preambulatory clause must be in one of the following forms:</w:t>
      </w:r>
    </w:p>
    <w:p w14:paraId="0AEB0D2C"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a present participle (e.g. “affirming”)</w:t>
      </w:r>
    </w:p>
    <w:p w14:paraId="766505BB"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a past participle (e.g. “convinced”)</w:t>
      </w:r>
    </w:p>
    <w:p w14:paraId="1C99D258"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an adjective (e.g. “aware”).</w:t>
      </w:r>
    </w:p>
    <w:p w14:paraId="542733BD"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The first word of every operative clause must be in one of the following forms:</w:t>
      </w:r>
    </w:p>
    <w:p w14:paraId="7EF8B538"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a participle (e.g. “concerned”)</w:t>
      </w:r>
    </w:p>
    <w:p w14:paraId="264D2433"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adjective (e.g. “aware”)</w:t>
      </w:r>
    </w:p>
    <w:p w14:paraId="78727FEE"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a singular action verb in</w:t>
      </w:r>
      <w:r>
        <w:rPr>
          <w:rFonts w:ascii="Times New Roman" w:hAnsi="Times New Roman" w:cs="Times New Roman"/>
          <w:kern w:val="0"/>
          <w:sz w:val="24"/>
          <w:szCs w:val="24"/>
        </w:rPr>
        <w:t xml:space="preserve"> the</w:t>
      </w:r>
      <w:r w:rsidRPr="00352CD9">
        <w:rPr>
          <w:rFonts w:ascii="Times New Roman" w:hAnsi="Times New Roman" w:cs="Times New Roman"/>
          <w:kern w:val="0"/>
          <w:sz w:val="24"/>
          <w:szCs w:val="24"/>
        </w:rPr>
        <w:t xml:space="preserve"> present tense (e.g. “endorses”).</w:t>
      </w:r>
    </w:p>
    <w:p w14:paraId="5BA2D1A2"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Both preambulatory and</w:t>
      </w:r>
      <w:r>
        <w:rPr>
          <w:rFonts w:ascii="Times New Roman" w:hAnsi="Times New Roman" w:cs="Times New Roman"/>
          <w:kern w:val="0"/>
          <w:sz w:val="24"/>
          <w:szCs w:val="24"/>
        </w:rPr>
        <w:t xml:space="preserve"> </w:t>
      </w:r>
      <w:r w:rsidRPr="00352CD9">
        <w:rPr>
          <w:rFonts w:ascii="Times New Roman" w:hAnsi="Times New Roman" w:cs="Times New Roman"/>
          <w:kern w:val="0"/>
          <w:sz w:val="24"/>
          <w:szCs w:val="24"/>
        </w:rPr>
        <w:t>operative clause headers can have an adverb in front of it if delegates deem it necessary</w:t>
      </w:r>
    </w:p>
    <w:p w14:paraId="10511D94" w14:textId="77777777" w:rsidR="00661BFD" w:rsidRPr="00352CD9" w:rsidRDefault="00661BFD" w:rsidP="00661BFD">
      <w:pPr>
        <w:pStyle w:val="a5"/>
        <w:wordWrap/>
        <w:adjustRightInd w:val="0"/>
        <w:ind w:leftChars="0" w:left="760"/>
        <w:jc w:val="left"/>
        <w:rPr>
          <w:rFonts w:ascii="Times New Roman" w:hAnsi="Times New Roman" w:cs="Times New Roman"/>
          <w:kern w:val="0"/>
          <w:sz w:val="24"/>
          <w:szCs w:val="24"/>
        </w:rPr>
      </w:pPr>
      <w:r w:rsidRPr="00352CD9">
        <w:rPr>
          <w:rFonts w:ascii="Times New Roman" w:hAnsi="Times New Roman" w:cs="Times New Roman"/>
          <w:kern w:val="0"/>
          <w:sz w:val="24"/>
          <w:szCs w:val="24"/>
        </w:rPr>
        <w:t>e.g.) “deeply concerned”</w:t>
      </w:r>
    </w:p>
    <w:p w14:paraId="12E8758F" w14:textId="77777777" w:rsidR="00661BFD" w:rsidRPr="00352CD9" w:rsidRDefault="00661BFD" w:rsidP="00661BFD">
      <w:pPr>
        <w:pStyle w:val="a5"/>
        <w:wordWrap/>
        <w:adjustRightInd w:val="0"/>
        <w:ind w:leftChars="0" w:left="760"/>
        <w:jc w:val="left"/>
        <w:rPr>
          <w:rFonts w:ascii="Times New Roman" w:hAnsi="Times New Roman" w:cs="Times New Roman"/>
          <w:kern w:val="0"/>
          <w:sz w:val="24"/>
          <w:szCs w:val="24"/>
        </w:rPr>
      </w:pPr>
      <w:r w:rsidRPr="00352CD9">
        <w:rPr>
          <w:rFonts w:ascii="Times New Roman" w:hAnsi="Times New Roman" w:cs="Times New Roman"/>
          <w:kern w:val="0"/>
          <w:sz w:val="24"/>
          <w:szCs w:val="24"/>
        </w:rPr>
        <w:t>e.g.) “strongly recommends</w:t>
      </w:r>
    </w:p>
    <w:p w14:paraId="7AF2AAAA"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 xml:space="preserve">The opener of each preambulatory clause is </w:t>
      </w:r>
      <w:r w:rsidRPr="00352CD9">
        <w:rPr>
          <w:rFonts w:ascii="Times New Roman" w:hAnsi="Times New Roman" w:cs="Times New Roman"/>
          <w:i/>
          <w:iCs/>
          <w:kern w:val="0"/>
          <w:sz w:val="24"/>
          <w:szCs w:val="24"/>
        </w:rPr>
        <w:t>italicized</w:t>
      </w:r>
      <w:r w:rsidRPr="00352CD9">
        <w:rPr>
          <w:rFonts w:ascii="Times New Roman" w:hAnsi="Times New Roman" w:cs="Times New Roman"/>
          <w:kern w:val="0"/>
          <w:sz w:val="24"/>
          <w:szCs w:val="24"/>
        </w:rPr>
        <w:t xml:space="preserve">; the opener of each operative clause is </w:t>
      </w:r>
      <w:r w:rsidRPr="00352CD9">
        <w:rPr>
          <w:rFonts w:ascii="Times New Roman" w:hAnsi="Times New Roman" w:cs="Times New Roman"/>
          <w:kern w:val="0"/>
          <w:sz w:val="24"/>
          <w:szCs w:val="24"/>
          <w:u w:val="single"/>
        </w:rPr>
        <w:t>underlined</w:t>
      </w:r>
    </w:p>
    <w:p w14:paraId="4A8A330B" w14:textId="0C9D37B8"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 xml:space="preserve">Hanging clauses </w:t>
      </w:r>
      <w:r w:rsidR="00FD584A">
        <w:rPr>
          <w:rFonts w:ascii="Times New Roman" w:hAnsi="Times New Roman" w:cs="Times New Roman"/>
          <w:kern w:val="0"/>
          <w:sz w:val="24"/>
          <w:szCs w:val="24"/>
        </w:rPr>
        <w:t>(</w:t>
      </w:r>
      <w:r w:rsidR="00FD584A">
        <w:rPr>
          <w:rFonts w:ascii="Times New Roman" w:hAnsi="Times New Roman" w:cs="Times New Roman" w:hint="eastAsia"/>
          <w:kern w:val="0"/>
          <w:sz w:val="24"/>
          <w:szCs w:val="24"/>
        </w:rPr>
        <w:t>s</w:t>
      </w:r>
      <w:r w:rsidR="00FD584A">
        <w:rPr>
          <w:rFonts w:ascii="Times New Roman" w:hAnsi="Times New Roman" w:cs="Times New Roman"/>
          <w:kern w:val="0"/>
          <w:sz w:val="24"/>
          <w:szCs w:val="24"/>
        </w:rPr>
        <w:t xml:space="preserve">ub-clauses or sub-sub clauses on their own) </w:t>
      </w:r>
      <w:r w:rsidRPr="00352CD9">
        <w:rPr>
          <w:rFonts w:ascii="Times New Roman" w:hAnsi="Times New Roman" w:cs="Times New Roman"/>
          <w:kern w:val="0"/>
          <w:sz w:val="24"/>
          <w:szCs w:val="24"/>
        </w:rPr>
        <w:t>are not allowed</w:t>
      </w:r>
    </w:p>
    <w:p w14:paraId="32D50D6E"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in the case where a hanging clause should appear, it should be merged with the clause of the preceding tier</w:t>
      </w:r>
    </w:p>
    <w:p w14:paraId="32710609" w14:textId="77777777" w:rsidR="00661BFD" w:rsidRPr="00352CD9" w:rsidRDefault="00661BFD" w:rsidP="00661BFD">
      <w:pPr>
        <w:pStyle w:val="a5"/>
        <w:numPr>
          <w:ilvl w:val="1"/>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hanging clauses are sub-clauses or sub-sub clauses that are alone</w:t>
      </w:r>
    </w:p>
    <w:p w14:paraId="35014F47" w14:textId="77777777" w:rsidR="00661BFD" w:rsidRPr="00352CD9" w:rsidRDefault="00661BFD" w:rsidP="00661BFD">
      <w:pPr>
        <w:pStyle w:val="a5"/>
        <w:numPr>
          <w:ilvl w:val="0"/>
          <w:numId w:val="2"/>
        </w:numPr>
        <w:ind w:leftChars="0"/>
        <w:rPr>
          <w:rFonts w:ascii="Times New Roman" w:hAnsi="Times New Roman" w:cs="Times New Roman"/>
          <w:sz w:val="24"/>
          <w:szCs w:val="24"/>
        </w:rPr>
      </w:pPr>
      <w:r w:rsidRPr="00352CD9">
        <w:rPr>
          <w:rFonts w:ascii="Times New Roman" w:hAnsi="Times New Roman" w:cs="Times New Roman"/>
          <w:kern w:val="0"/>
          <w:sz w:val="24"/>
          <w:szCs w:val="24"/>
        </w:rPr>
        <w:t>Sub-sub-sub clauses and any further tier clauses are not allowed in SEMUN</w:t>
      </w:r>
    </w:p>
    <w:p w14:paraId="0E4B1FA0" w14:textId="77777777" w:rsidR="00661BFD" w:rsidRPr="00352CD9" w:rsidRDefault="00661BFD" w:rsidP="00661BFD">
      <w:pPr>
        <w:rPr>
          <w:rFonts w:ascii="Times New Roman" w:hAnsi="Times New Roman" w:cs="Times New Roman"/>
          <w:sz w:val="24"/>
          <w:szCs w:val="24"/>
        </w:rPr>
      </w:pPr>
    </w:p>
    <w:p w14:paraId="730905E1" w14:textId="77777777" w:rsidR="00661BFD" w:rsidRPr="00352CD9" w:rsidRDefault="00661BFD" w:rsidP="00661BFD">
      <w:pPr>
        <w:rPr>
          <w:rFonts w:ascii="Times New Roman" w:hAnsi="Times New Roman" w:cs="Times New Roman"/>
          <w:sz w:val="24"/>
          <w:szCs w:val="24"/>
        </w:rPr>
      </w:pPr>
      <w:r w:rsidRPr="00352CD9">
        <w:rPr>
          <w:rFonts w:ascii="Times New Roman" w:hAnsi="Times New Roman" w:cs="Times New Roman"/>
          <w:sz w:val="24"/>
          <w:szCs w:val="24"/>
        </w:rPr>
        <w:t>*Only the Security Council may use the operative clause ‘condemns’ as it is the only council to have military action readily available</w:t>
      </w:r>
    </w:p>
    <w:p w14:paraId="3C3370E4" w14:textId="77777777" w:rsidR="00661BFD" w:rsidRPr="00352CD9" w:rsidRDefault="00661BFD" w:rsidP="00661BFD">
      <w:pPr>
        <w:rPr>
          <w:rFonts w:ascii="Times New Roman" w:hAnsi="Times New Roman" w:cs="Times New Roman"/>
          <w:sz w:val="24"/>
          <w:szCs w:val="24"/>
        </w:rPr>
      </w:pPr>
    </w:p>
    <w:p w14:paraId="1C7EA0E3" w14:textId="77777777" w:rsidR="00661BFD" w:rsidRDefault="00661BFD" w:rsidP="00661BFD">
      <w:pPr>
        <w:rPr>
          <w:rFonts w:ascii="Times New Roman" w:hAnsi="Times New Roman" w:cs="Times New Roman"/>
          <w:sz w:val="24"/>
          <w:szCs w:val="24"/>
        </w:rPr>
      </w:pPr>
      <w:r w:rsidRPr="00352CD9">
        <w:rPr>
          <w:rFonts w:ascii="Times New Roman" w:hAnsi="Times New Roman" w:cs="Times New Roman"/>
          <w:sz w:val="24"/>
          <w:szCs w:val="24"/>
        </w:rPr>
        <w:t>*‘Further’ should only be used for clauses that are used for the second time</w:t>
      </w:r>
    </w:p>
    <w:p w14:paraId="1A6E7452" w14:textId="77777777" w:rsidR="00661BFD" w:rsidRDefault="00661BFD" w:rsidP="00661BFD">
      <w:pPr>
        <w:rPr>
          <w:rFonts w:ascii="Times New Roman" w:hAnsi="Times New Roman" w:cs="Times New Roman"/>
          <w:sz w:val="24"/>
          <w:szCs w:val="24"/>
        </w:rPr>
      </w:pPr>
    </w:p>
    <w:p w14:paraId="1A71307A" w14:textId="77777777"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lastRenderedPageBreak/>
        <w:t>D</w:t>
      </w:r>
      <w:r>
        <w:rPr>
          <w:rFonts w:ascii="Times New Roman" w:hAnsi="Times New Roman" w:cs="Times New Roman"/>
          <w:sz w:val="24"/>
          <w:szCs w:val="24"/>
        </w:rPr>
        <w:t>ifferences in Resolutions By Committee</w:t>
      </w:r>
    </w:p>
    <w:p w14:paraId="035D8520" w14:textId="77777777" w:rsidR="00661BFD" w:rsidRPr="00CF3B63" w:rsidRDefault="00661BFD" w:rsidP="00661BFD">
      <w:pPr>
        <w:pStyle w:val="a5"/>
        <w:numPr>
          <w:ilvl w:val="0"/>
          <w:numId w:val="3"/>
        </w:numPr>
        <w:ind w:leftChars="0"/>
        <w:rPr>
          <w:rFonts w:ascii="Times New Roman" w:hAnsi="Times New Roman" w:cs="Times New Roman"/>
          <w:b/>
          <w:bCs/>
          <w:sz w:val="24"/>
          <w:szCs w:val="24"/>
        </w:rPr>
      </w:pPr>
      <w:r>
        <w:rPr>
          <w:rFonts w:ascii="Times New Roman" w:hAnsi="Times New Roman" w:cs="Times New Roman"/>
          <w:sz w:val="24"/>
          <w:szCs w:val="24"/>
        </w:rPr>
        <w:t>Security Council/Historical Security Council:</w:t>
      </w:r>
    </w:p>
    <w:p w14:paraId="35C8D712" w14:textId="77777777" w:rsidR="00661BFD" w:rsidRPr="00CF3B63" w:rsidRDefault="00661BFD" w:rsidP="00661BFD">
      <w:pPr>
        <w:pStyle w:val="a5"/>
        <w:numPr>
          <w:ilvl w:val="1"/>
          <w:numId w:val="3"/>
        </w:numPr>
        <w:ind w:leftChars="0"/>
        <w:rPr>
          <w:rFonts w:ascii="Times New Roman" w:hAnsi="Times New Roman" w:cs="Times New Roman"/>
          <w:sz w:val="24"/>
          <w:szCs w:val="24"/>
        </w:rPr>
      </w:pPr>
      <w:r w:rsidRPr="00CF3B63">
        <w:rPr>
          <w:rFonts w:ascii="Times New Roman" w:hAnsi="Times New Roman" w:cs="Times New Roman"/>
          <w:sz w:val="24"/>
          <w:szCs w:val="24"/>
        </w:rPr>
        <w:t>resolutions may utilize armed forces</w:t>
      </w:r>
    </w:p>
    <w:p w14:paraId="74EF9B16" w14:textId="77777777" w:rsidR="00661BFD" w:rsidRPr="00352CD9" w:rsidRDefault="00661BFD" w:rsidP="00661BFD">
      <w:pPr>
        <w:pStyle w:val="a5"/>
        <w:numPr>
          <w:ilvl w:val="1"/>
          <w:numId w:val="3"/>
        </w:numPr>
        <w:ind w:leftChars="0"/>
        <w:rPr>
          <w:rFonts w:ascii="Times New Roman" w:hAnsi="Times New Roman" w:cs="Times New Roman"/>
          <w:b/>
          <w:bCs/>
          <w:sz w:val="24"/>
          <w:szCs w:val="24"/>
        </w:rPr>
      </w:pPr>
      <w:r>
        <w:rPr>
          <w:rFonts w:ascii="Times New Roman" w:hAnsi="Times New Roman" w:cs="Times New Roman"/>
          <w:sz w:val="24"/>
          <w:szCs w:val="24"/>
        </w:rPr>
        <w:t>resolutions are legally binding for all member states in the United Nations</w:t>
      </w:r>
    </w:p>
    <w:p w14:paraId="271D9B1F" w14:textId="77777777" w:rsidR="00661BFD" w:rsidRPr="00352CD9" w:rsidRDefault="00661BFD" w:rsidP="00661BFD">
      <w:pPr>
        <w:pStyle w:val="a5"/>
        <w:numPr>
          <w:ilvl w:val="0"/>
          <w:numId w:val="3"/>
        </w:numPr>
        <w:ind w:leftChars="0"/>
        <w:rPr>
          <w:rFonts w:ascii="Times New Roman" w:hAnsi="Times New Roman" w:cs="Times New Roman"/>
          <w:sz w:val="24"/>
          <w:szCs w:val="24"/>
        </w:rPr>
      </w:pPr>
      <w:r>
        <w:rPr>
          <w:rFonts w:ascii="Times New Roman" w:hAnsi="Times New Roman" w:cs="Times New Roman"/>
          <w:sz w:val="24"/>
          <w:szCs w:val="24"/>
        </w:rPr>
        <w:t>Six Party Talks resolutions are legally binding only for the countries in the Six Party Talks (China, Japan, North Korea, Russia, South Korea, United States of America).</w:t>
      </w:r>
    </w:p>
    <w:p w14:paraId="686397C3" w14:textId="253258A2" w:rsidR="00661BFD" w:rsidRDefault="00661BFD" w:rsidP="00661BFD">
      <w:pPr>
        <w:pStyle w:val="a5"/>
        <w:numPr>
          <w:ilvl w:val="0"/>
          <w:numId w:val="3"/>
        </w:numPr>
        <w:ind w:leftChars="0"/>
        <w:rPr>
          <w:rFonts w:ascii="Times New Roman" w:hAnsi="Times New Roman" w:cs="Times New Roman"/>
          <w:sz w:val="24"/>
          <w:szCs w:val="24"/>
        </w:rPr>
      </w:pPr>
      <w:r>
        <w:rPr>
          <w:rFonts w:ascii="Times New Roman" w:hAnsi="Times New Roman" w:cs="Times New Roman"/>
          <w:sz w:val="24"/>
          <w:szCs w:val="24"/>
        </w:rPr>
        <w:t>Resolutions from committees other than the aforementioned three committees (Security Council, Historical Security Council, Six Party Talks) are not legally binding.</w:t>
      </w:r>
    </w:p>
    <w:p w14:paraId="177EF255" w14:textId="6353AC8A" w:rsidR="00661BFD" w:rsidRDefault="00661BFD" w:rsidP="00661BFD">
      <w:pPr>
        <w:rPr>
          <w:rFonts w:ascii="Times New Roman" w:hAnsi="Times New Roman" w:cs="Times New Roman"/>
          <w:sz w:val="24"/>
          <w:szCs w:val="24"/>
        </w:rPr>
      </w:pPr>
    </w:p>
    <w:p w14:paraId="4D1C29CF" w14:textId="77777777" w:rsidR="00661BFD" w:rsidRDefault="00661BFD" w:rsidP="00661BFD">
      <w:pPr>
        <w:rPr>
          <w:rFonts w:ascii="Times New Roman" w:hAnsi="Times New Roman" w:cs="Times New Roman"/>
          <w:sz w:val="24"/>
          <w:szCs w:val="24"/>
          <w:u w:val="single"/>
        </w:rPr>
      </w:pPr>
    </w:p>
    <w:p w14:paraId="6AE974C0" w14:textId="77777777" w:rsidR="00661BFD" w:rsidRDefault="00661BFD" w:rsidP="00661BFD">
      <w:pPr>
        <w:rPr>
          <w:rFonts w:ascii="Times New Roman" w:hAnsi="Times New Roman" w:cs="Times New Roman"/>
          <w:sz w:val="24"/>
          <w:szCs w:val="24"/>
          <w:u w:val="single"/>
        </w:rPr>
      </w:pPr>
    </w:p>
    <w:p w14:paraId="002AF9D4" w14:textId="77777777" w:rsidR="00661BFD" w:rsidRDefault="00661BFD" w:rsidP="00661BFD">
      <w:pPr>
        <w:rPr>
          <w:rFonts w:ascii="Times New Roman" w:hAnsi="Times New Roman" w:cs="Times New Roman"/>
          <w:sz w:val="24"/>
          <w:szCs w:val="24"/>
          <w:u w:val="single"/>
        </w:rPr>
      </w:pPr>
    </w:p>
    <w:p w14:paraId="3708A82E" w14:textId="77777777" w:rsidR="00661BFD" w:rsidRDefault="00661BFD" w:rsidP="00661BFD">
      <w:pPr>
        <w:rPr>
          <w:rFonts w:ascii="Times New Roman" w:hAnsi="Times New Roman" w:cs="Times New Roman"/>
          <w:sz w:val="24"/>
          <w:szCs w:val="24"/>
          <w:u w:val="single"/>
        </w:rPr>
      </w:pPr>
    </w:p>
    <w:p w14:paraId="1C0F21DF" w14:textId="49433190" w:rsidR="00661BFD" w:rsidRPr="00661BFD" w:rsidRDefault="00661BFD" w:rsidP="00661BFD">
      <w:pPr>
        <w:rPr>
          <w:rFonts w:ascii="Times New Roman" w:hAnsi="Times New Roman" w:cs="Times New Roman"/>
          <w:sz w:val="24"/>
          <w:szCs w:val="24"/>
          <w:u w:val="single"/>
        </w:rPr>
      </w:pPr>
      <w:r w:rsidRPr="00661BFD">
        <w:rPr>
          <w:rFonts w:ascii="Times New Roman" w:hAnsi="Times New Roman" w:cs="Times New Roman" w:hint="eastAsia"/>
          <w:sz w:val="24"/>
          <w:szCs w:val="24"/>
          <w:u w:val="single"/>
        </w:rPr>
        <w:t>L</w:t>
      </w:r>
      <w:r w:rsidRPr="00661BFD">
        <w:rPr>
          <w:rFonts w:ascii="Times New Roman" w:hAnsi="Times New Roman" w:cs="Times New Roman"/>
          <w:sz w:val="24"/>
          <w:szCs w:val="24"/>
          <w:u w:val="single"/>
        </w:rPr>
        <w:t>ist of Commonly Used Example Preambulatory Clause Starters:</w:t>
      </w:r>
    </w:p>
    <w:p w14:paraId="122C6C1C" w14:textId="4D3C18E1" w:rsidR="00661BFD" w:rsidRDefault="00661BFD" w:rsidP="00661BFD">
      <w:pPr>
        <w:rPr>
          <w:rFonts w:ascii="Times New Roman" w:hAnsi="Times New Roman" w:cs="Times New Roman"/>
          <w:sz w:val="24"/>
          <w:szCs w:val="24"/>
        </w:rPr>
      </w:pPr>
    </w:p>
    <w:p w14:paraId="4AF697ED" w14:textId="77777777" w:rsidR="00661BFD" w:rsidRDefault="00661BFD" w:rsidP="00661BFD">
      <w:pPr>
        <w:rPr>
          <w:rFonts w:ascii="Times New Roman" w:hAnsi="Times New Roman" w:cs="Times New Roman"/>
          <w:sz w:val="24"/>
          <w:szCs w:val="24"/>
        </w:rPr>
        <w:sectPr w:rsidR="00661BFD" w:rsidSect="00661BFD">
          <w:footerReference w:type="default" r:id="rId7"/>
          <w:type w:val="continuous"/>
          <w:pgSz w:w="12240" w:h="15840"/>
          <w:pgMar w:top="1440" w:right="1440" w:bottom="1440" w:left="1440" w:header="720" w:footer="720" w:gutter="0"/>
          <w:pgNumType w:start="1"/>
          <w:cols w:space="720"/>
        </w:sectPr>
      </w:pPr>
    </w:p>
    <w:p w14:paraId="15935E1C" w14:textId="5836D783"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ffirming</w:t>
      </w:r>
    </w:p>
    <w:p w14:paraId="2129BDBC" w14:textId="67CD13C2"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ffirmed by</w:t>
      </w:r>
    </w:p>
    <w:p w14:paraId="637F13C0" w14:textId="77777777"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pproving</w:t>
      </w:r>
    </w:p>
    <w:p w14:paraId="7ECADF2F"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Aware of</w:t>
      </w:r>
    </w:p>
    <w:p w14:paraId="7E2651EB"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Bearing in mind</w:t>
      </w:r>
    </w:p>
    <w:p w14:paraId="3345A144"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Believing</w:t>
      </w:r>
    </w:p>
    <w:p w14:paraId="09B144CD"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Contemplating</w:t>
      </w:r>
    </w:p>
    <w:p w14:paraId="548C2445"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Deeply conscious</w:t>
      </w:r>
    </w:p>
    <w:p w14:paraId="44C8B4E4"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Deeply convinced</w:t>
      </w:r>
    </w:p>
    <w:p w14:paraId="0314EF01"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Deeply disturbed</w:t>
      </w:r>
    </w:p>
    <w:p w14:paraId="64641C42"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Deeply regretting</w:t>
      </w:r>
    </w:p>
    <w:p w14:paraId="41C7D6DD"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Desiring</w:t>
      </w:r>
    </w:p>
    <w:p w14:paraId="7039561C"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Emphasizing</w:t>
      </w:r>
    </w:p>
    <w:p w14:paraId="1CF273B1"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Expecting</w:t>
      </w:r>
    </w:p>
    <w:p w14:paraId="7FA96D2D"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Fully aware</w:t>
      </w:r>
    </w:p>
    <w:p w14:paraId="2EDF3E0A"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Fully believing</w:t>
      </w:r>
    </w:p>
    <w:p w14:paraId="2066DEA8"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Further recalling</w:t>
      </w:r>
    </w:p>
    <w:p w14:paraId="00746587"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Having adopted</w:t>
      </w:r>
    </w:p>
    <w:p w14:paraId="0CA6F308"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Having considered</w:t>
      </w:r>
    </w:p>
    <w:p w14:paraId="6E690131"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Having examined</w:t>
      </w:r>
    </w:p>
    <w:p w14:paraId="5860A9C4"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Having studied</w:t>
      </w:r>
    </w:p>
    <w:p w14:paraId="1D977F81" w14:textId="16310457"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oting with deep concern</w:t>
      </w:r>
    </w:p>
    <w:p w14:paraId="71804CA7" w14:textId="08AD704D"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oting with regret</w:t>
      </w:r>
    </w:p>
    <w:p w14:paraId="1C008E1F"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Noting with satisfaction</w:t>
      </w:r>
    </w:p>
    <w:p w14:paraId="17714176"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Observing</w:t>
      </w:r>
    </w:p>
    <w:p w14:paraId="7A7DE139"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Reaffirming</w:t>
      </w:r>
    </w:p>
    <w:p w14:paraId="56D54242" w14:textId="77777777"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ealizing</w:t>
      </w:r>
    </w:p>
    <w:p w14:paraId="3E12250E" w14:textId="102CFD47" w:rsidR="00661BFD" w:rsidRDefault="00661BFD" w:rsidP="00661BFD">
      <w:pPr>
        <w:rPr>
          <w:rFonts w:ascii="Times New Roman" w:hAnsi="Times New Roman" w:cs="Times New Roman"/>
          <w:sz w:val="24"/>
          <w:szCs w:val="24"/>
        </w:rPr>
        <w:sectPr w:rsidR="00661BFD" w:rsidSect="00661BFD">
          <w:type w:val="continuous"/>
          <w:pgSz w:w="12240" w:h="15840"/>
          <w:pgMar w:top="1440" w:right="1440" w:bottom="1440" w:left="1440" w:header="720" w:footer="720" w:gutter="0"/>
          <w:pgNumType w:start="1"/>
          <w:cols w:num="3" w:space="720"/>
        </w:sectPr>
      </w:pPr>
      <w:r>
        <w:rPr>
          <w:rFonts w:ascii="Times New Roman" w:hAnsi="Times New Roman" w:cs="Times New Roman"/>
          <w:sz w:val="24"/>
          <w:szCs w:val="24"/>
        </w:rPr>
        <w:t>Recalling</w:t>
      </w:r>
    </w:p>
    <w:p w14:paraId="2A37E7F5" w14:textId="77777777" w:rsidR="00661BFD" w:rsidRDefault="00661BFD" w:rsidP="00661BFD">
      <w:pPr>
        <w:rPr>
          <w:rFonts w:ascii="Times New Roman" w:hAnsi="Times New Roman" w:cs="Times New Roman"/>
          <w:sz w:val="24"/>
          <w:szCs w:val="24"/>
          <w:u w:val="single"/>
        </w:rPr>
      </w:pPr>
    </w:p>
    <w:p w14:paraId="186328A8" w14:textId="41222C7F" w:rsidR="00661BFD" w:rsidRDefault="00661BFD" w:rsidP="00661BFD">
      <w:pPr>
        <w:rPr>
          <w:rFonts w:ascii="Times New Roman" w:hAnsi="Times New Roman" w:cs="Times New Roman"/>
          <w:sz w:val="24"/>
          <w:szCs w:val="24"/>
          <w:u w:val="single"/>
        </w:rPr>
      </w:pPr>
    </w:p>
    <w:p w14:paraId="5711EA1D" w14:textId="654F3C8A" w:rsidR="00661BFD" w:rsidRDefault="00661BFD" w:rsidP="00661BFD">
      <w:pPr>
        <w:rPr>
          <w:rFonts w:ascii="Times New Roman" w:hAnsi="Times New Roman" w:cs="Times New Roman"/>
          <w:sz w:val="24"/>
          <w:szCs w:val="24"/>
          <w:u w:val="single"/>
        </w:rPr>
      </w:pPr>
    </w:p>
    <w:p w14:paraId="44426794" w14:textId="77777777" w:rsidR="00661BFD" w:rsidRDefault="00661BFD" w:rsidP="00661BFD">
      <w:pPr>
        <w:rPr>
          <w:rFonts w:ascii="Times New Roman" w:hAnsi="Times New Roman" w:cs="Times New Roman"/>
          <w:sz w:val="24"/>
          <w:szCs w:val="24"/>
          <w:u w:val="single"/>
        </w:rPr>
      </w:pPr>
    </w:p>
    <w:p w14:paraId="4C39D5BB" w14:textId="77777777" w:rsidR="00661BFD" w:rsidRDefault="00661BFD" w:rsidP="00661BFD">
      <w:pPr>
        <w:rPr>
          <w:rFonts w:ascii="Times New Roman" w:hAnsi="Times New Roman" w:cs="Times New Roman"/>
          <w:sz w:val="24"/>
          <w:szCs w:val="24"/>
          <w:u w:val="single"/>
        </w:rPr>
      </w:pPr>
    </w:p>
    <w:p w14:paraId="27138AC1" w14:textId="61C94498" w:rsidR="00661BFD" w:rsidRPr="00661BFD" w:rsidRDefault="00661BFD" w:rsidP="00661BFD">
      <w:pPr>
        <w:rPr>
          <w:rFonts w:ascii="Times New Roman" w:hAnsi="Times New Roman" w:cs="Times New Roman"/>
          <w:sz w:val="24"/>
          <w:szCs w:val="24"/>
          <w:u w:val="single"/>
        </w:rPr>
      </w:pPr>
      <w:r w:rsidRPr="00661BFD">
        <w:rPr>
          <w:rFonts w:ascii="Times New Roman" w:hAnsi="Times New Roman" w:cs="Times New Roman" w:hint="eastAsia"/>
          <w:sz w:val="24"/>
          <w:szCs w:val="24"/>
          <w:u w:val="single"/>
        </w:rPr>
        <w:t>L</w:t>
      </w:r>
      <w:r w:rsidRPr="00661BFD">
        <w:rPr>
          <w:rFonts w:ascii="Times New Roman" w:hAnsi="Times New Roman" w:cs="Times New Roman"/>
          <w:sz w:val="24"/>
          <w:szCs w:val="24"/>
          <w:u w:val="single"/>
        </w:rPr>
        <w:t>ist of Commonly Used Example Operative Clause Starters:</w:t>
      </w:r>
    </w:p>
    <w:p w14:paraId="2A5182C9" w14:textId="141328AC" w:rsidR="00661BFD" w:rsidRDefault="00661BFD" w:rsidP="00661BFD">
      <w:pPr>
        <w:rPr>
          <w:rFonts w:ascii="Times New Roman" w:hAnsi="Times New Roman" w:cs="Times New Roman"/>
          <w:sz w:val="24"/>
          <w:szCs w:val="24"/>
        </w:rPr>
      </w:pPr>
    </w:p>
    <w:p w14:paraId="2B98415E" w14:textId="77777777" w:rsidR="00661BFD" w:rsidRDefault="00661BFD" w:rsidP="00661BFD">
      <w:pPr>
        <w:rPr>
          <w:rFonts w:ascii="Times New Roman" w:hAnsi="Times New Roman" w:cs="Times New Roman"/>
          <w:sz w:val="24"/>
          <w:szCs w:val="24"/>
        </w:rPr>
        <w:sectPr w:rsidR="00661BFD" w:rsidSect="00661BFD">
          <w:type w:val="continuous"/>
          <w:pgSz w:w="12240" w:h="15840"/>
          <w:pgMar w:top="1440" w:right="1440" w:bottom="1440" w:left="1440" w:header="720" w:footer="720" w:gutter="0"/>
          <w:pgNumType w:start="1"/>
          <w:cols w:space="720"/>
        </w:sectPr>
      </w:pPr>
    </w:p>
    <w:p w14:paraId="3E0C052F" w14:textId="3F89FC13"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ccepts</w:t>
      </w:r>
    </w:p>
    <w:p w14:paraId="424D89BB" w14:textId="2A2F5516"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ffirms</w:t>
      </w:r>
    </w:p>
    <w:p w14:paraId="74DFF60B" w14:textId="44A315D9" w:rsidR="00661BFD" w:rsidRP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pproves</w:t>
      </w:r>
    </w:p>
    <w:p w14:paraId="118EC236" w14:textId="77777777" w:rsidR="00661BFD" w:rsidRDefault="00661BFD" w:rsidP="00661BFD">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uthorizes</w:t>
      </w:r>
    </w:p>
    <w:p w14:paraId="6873D297"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Congratulates</w:t>
      </w:r>
    </w:p>
    <w:p w14:paraId="07142C97"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Considers</w:t>
      </w:r>
    </w:p>
    <w:p w14:paraId="1D08A28F"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 xml:space="preserve">Takes note of </w:t>
      </w:r>
    </w:p>
    <w:p w14:paraId="4F7759E2"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Calls for</w:t>
      </w:r>
    </w:p>
    <w:p w14:paraId="21D9287E"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Calls upon</w:t>
      </w:r>
    </w:p>
    <w:p w14:paraId="6BC7EE5D"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Condemns</w:t>
      </w:r>
    </w:p>
    <w:p w14:paraId="567C75F5"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Confirms</w:t>
      </w:r>
    </w:p>
    <w:p w14:paraId="3940624E"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Further requests</w:t>
      </w:r>
    </w:p>
    <w:p w14:paraId="05DCC9D2"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Supports</w:t>
      </w:r>
    </w:p>
    <w:p w14:paraId="0E424AF0"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Urges</w:t>
      </w:r>
    </w:p>
    <w:p w14:paraId="40F99E57"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Deplores</w:t>
      </w:r>
    </w:p>
    <w:p w14:paraId="13939F88"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Designates</w:t>
      </w:r>
    </w:p>
    <w:p w14:paraId="56ADED7A"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Draws attention</w:t>
      </w:r>
    </w:p>
    <w:p w14:paraId="479CEBCA"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Encourages</w:t>
      </w:r>
    </w:p>
    <w:p w14:paraId="58B05233"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Endorses</w:t>
      </w:r>
    </w:p>
    <w:p w14:paraId="05184C2F"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Further proclaims</w:t>
      </w:r>
    </w:p>
    <w:p w14:paraId="6B23771B"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Further reminds</w:t>
      </w:r>
    </w:p>
    <w:p w14:paraId="3F0A9051"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Further resolves</w:t>
      </w:r>
    </w:p>
    <w:p w14:paraId="7EA5F7A4"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Reaffirms</w:t>
      </w:r>
    </w:p>
    <w:p w14:paraId="4759EEDE"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Requests</w:t>
      </w:r>
    </w:p>
    <w:p w14:paraId="79DAD796"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Resolves</w:t>
      </w:r>
    </w:p>
    <w:p w14:paraId="0294AFD8" w14:textId="77777777" w:rsidR="00661BFD" w:rsidRDefault="00661BFD" w:rsidP="00661BFD">
      <w:pPr>
        <w:rPr>
          <w:rFonts w:ascii="Times New Roman" w:hAnsi="Times New Roman" w:cs="Times New Roman"/>
          <w:sz w:val="24"/>
          <w:szCs w:val="24"/>
        </w:rPr>
      </w:pPr>
      <w:r>
        <w:rPr>
          <w:rFonts w:ascii="Times New Roman" w:hAnsi="Times New Roman" w:cs="Times New Roman"/>
          <w:sz w:val="24"/>
          <w:szCs w:val="24"/>
        </w:rPr>
        <w:t>Solemnly affirms</w:t>
      </w:r>
    </w:p>
    <w:p w14:paraId="1012903B" w14:textId="7446EEB3" w:rsidR="00661BFD" w:rsidRDefault="00661BFD" w:rsidP="00661BFD">
      <w:pPr>
        <w:rPr>
          <w:rFonts w:ascii="Times New Roman" w:hAnsi="Times New Roman" w:cs="Times New Roman"/>
          <w:sz w:val="24"/>
          <w:szCs w:val="24"/>
        </w:rPr>
        <w:sectPr w:rsidR="00661BFD" w:rsidSect="00661BFD">
          <w:type w:val="continuous"/>
          <w:pgSz w:w="12240" w:h="15840"/>
          <w:pgMar w:top="1440" w:right="1440" w:bottom="1440" w:left="1440" w:header="720" w:footer="720" w:gutter="0"/>
          <w:pgNumType w:start="1"/>
          <w:cols w:num="3" w:space="720"/>
        </w:sectPr>
      </w:pPr>
      <w:r>
        <w:rPr>
          <w:rFonts w:ascii="Times New Roman" w:hAnsi="Times New Roman" w:cs="Times New Roman"/>
          <w:sz w:val="24"/>
          <w:szCs w:val="24"/>
        </w:rPr>
        <w:t>Strongly condemns</w:t>
      </w:r>
    </w:p>
    <w:p w14:paraId="2045B9E7" w14:textId="77D357E4" w:rsidR="00661BFD" w:rsidRDefault="00661BFD">
      <w:pPr>
        <w:rPr>
          <w:rFonts w:ascii="Times New Roman" w:hAnsi="Times New Roman" w:cs="Times New Roman"/>
          <w:sz w:val="24"/>
          <w:szCs w:val="24"/>
        </w:rPr>
      </w:pPr>
      <w:r>
        <w:rPr>
          <w:rFonts w:ascii="Times New Roman" w:hAnsi="Times New Roman" w:cs="Times New Roman" w:hint="eastAsia"/>
          <w:sz w:val="24"/>
          <w:szCs w:val="24"/>
        </w:rPr>
        <w:lastRenderedPageBreak/>
        <w:t>S</w:t>
      </w:r>
      <w:r>
        <w:rPr>
          <w:rFonts w:ascii="Times New Roman" w:hAnsi="Times New Roman" w:cs="Times New Roman"/>
          <w:sz w:val="24"/>
          <w:szCs w:val="24"/>
        </w:rPr>
        <w:t>ample Resolution:</w:t>
      </w:r>
    </w:p>
    <w:p w14:paraId="5999F75F" w14:textId="77777777" w:rsidR="00661BFD" w:rsidRDefault="00661BFD">
      <w:pPr>
        <w:rPr>
          <w:rFonts w:ascii="Times New Roman" w:hAnsi="Times New Roman" w:cs="Times New Roman"/>
          <w:sz w:val="24"/>
          <w:szCs w:val="24"/>
        </w:rPr>
      </w:pPr>
    </w:p>
    <w:p w14:paraId="00000001" w14:textId="2DF98CC4" w:rsidR="00235D5E" w:rsidRDefault="00661BFD">
      <w:pPr>
        <w:rPr>
          <w:rFonts w:ascii="Times New Roman" w:eastAsia="Times New Roman" w:hAnsi="Times New Roman" w:cs="Times New Roman"/>
        </w:rPr>
      </w:pPr>
      <w:r>
        <w:rPr>
          <w:rFonts w:ascii="Times New Roman" w:eastAsia="Times New Roman" w:hAnsi="Times New Roman" w:cs="Times New Roman"/>
        </w:rPr>
        <w:t>FORUM: General Assembly</w:t>
      </w:r>
    </w:p>
    <w:p w14:paraId="00000002" w14:textId="77777777" w:rsidR="00235D5E" w:rsidRDefault="00661BFD">
      <w:pPr>
        <w:rPr>
          <w:rFonts w:ascii="Times New Roman" w:eastAsia="Times New Roman" w:hAnsi="Times New Roman" w:cs="Times New Roman"/>
        </w:rPr>
      </w:pPr>
      <w:r>
        <w:rPr>
          <w:rFonts w:ascii="Times New Roman" w:eastAsia="Times New Roman" w:hAnsi="Times New Roman" w:cs="Times New Roman"/>
        </w:rPr>
        <w:t>QUESTION OF: Addressing the presence of non-state actors in Yemen</w:t>
      </w:r>
    </w:p>
    <w:p w14:paraId="00000003" w14:textId="77777777" w:rsidR="00235D5E" w:rsidRDefault="00661BFD">
      <w:pPr>
        <w:rPr>
          <w:rFonts w:ascii="Times New Roman" w:eastAsia="Times New Roman" w:hAnsi="Times New Roman" w:cs="Times New Roman"/>
        </w:rPr>
      </w:pPr>
      <w:r>
        <w:rPr>
          <w:rFonts w:ascii="Times New Roman" w:eastAsia="Times New Roman" w:hAnsi="Times New Roman" w:cs="Times New Roman"/>
        </w:rPr>
        <w:t>MAIN SUBMITTED BY: Russian Federation</w:t>
      </w:r>
    </w:p>
    <w:p w14:paraId="00000004" w14:textId="77777777" w:rsidR="00235D5E" w:rsidRDefault="00661BFD">
      <w:pPr>
        <w:rPr>
          <w:rFonts w:ascii="Times New Roman" w:eastAsia="Times New Roman" w:hAnsi="Times New Roman" w:cs="Times New Roman"/>
        </w:rPr>
      </w:pPr>
      <w:r>
        <w:rPr>
          <w:rFonts w:ascii="Times New Roman" w:eastAsia="Times New Roman" w:hAnsi="Times New Roman" w:cs="Times New Roman"/>
        </w:rPr>
        <w:t>CO-SUBMITTED BY: India, Republic of Korea, Nepal, Kazakhstan</w:t>
      </w:r>
    </w:p>
    <w:p w14:paraId="00000005" w14:textId="77777777" w:rsidR="00235D5E" w:rsidRDefault="00235D5E">
      <w:pPr>
        <w:rPr>
          <w:rFonts w:ascii="Times New Roman" w:eastAsia="Times New Roman" w:hAnsi="Times New Roman" w:cs="Times New Roman"/>
        </w:rPr>
      </w:pPr>
    </w:p>
    <w:p w14:paraId="00000006" w14:textId="77777777" w:rsidR="00235D5E" w:rsidRDefault="00661BFD">
      <w:pPr>
        <w:rPr>
          <w:rFonts w:ascii="Times New Roman" w:eastAsia="Times New Roman" w:hAnsi="Times New Roman" w:cs="Times New Roman"/>
        </w:rPr>
      </w:pPr>
      <w:r>
        <w:rPr>
          <w:rFonts w:ascii="Times New Roman" w:eastAsia="Times New Roman" w:hAnsi="Times New Roman" w:cs="Times New Roman"/>
        </w:rPr>
        <w:t>[2]</w:t>
      </w:r>
    </w:p>
    <w:p w14:paraId="00000007" w14:textId="68B93CC9" w:rsidR="00235D5E" w:rsidRDefault="00661BFD">
      <w:pPr>
        <w:rPr>
          <w:rFonts w:ascii="Times New Roman" w:eastAsia="Times New Roman" w:hAnsi="Times New Roman" w:cs="Times New Roman"/>
        </w:rPr>
      </w:pPr>
      <w:r>
        <w:rPr>
          <w:rFonts w:ascii="Times New Roman" w:eastAsia="Times New Roman" w:hAnsi="Times New Roman" w:cs="Times New Roman"/>
        </w:rPr>
        <w:t>THE UNITED NATIONS GENERAL ASSEMBLY, [3]</w:t>
      </w:r>
    </w:p>
    <w:p w14:paraId="00000008" w14:textId="77777777" w:rsidR="00235D5E" w:rsidRDefault="00235D5E">
      <w:pPr>
        <w:rPr>
          <w:rFonts w:ascii="Times New Roman" w:eastAsia="Times New Roman" w:hAnsi="Times New Roman" w:cs="Times New Roman"/>
        </w:rPr>
      </w:pPr>
    </w:p>
    <w:p w14:paraId="00000009" w14:textId="77777777" w:rsidR="00235D5E" w:rsidRDefault="00661BFD">
      <w:pPr>
        <w:rPr>
          <w:rFonts w:ascii="Times New Roman" w:eastAsia="Times New Roman" w:hAnsi="Times New Roman" w:cs="Times New Roman"/>
        </w:rPr>
      </w:pPr>
      <w:r>
        <w:rPr>
          <w:rFonts w:ascii="Times New Roman" w:eastAsia="Times New Roman" w:hAnsi="Times New Roman" w:cs="Times New Roman"/>
          <w:i/>
        </w:rPr>
        <w:t>Guided</w:t>
      </w:r>
      <w:r>
        <w:rPr>
          <w:rFonts w:ascii="Times New Roman" w:eastAsia="Times New Roman" w:hAnsi="Times New Roman" w:cs="Times New Roman"/>
        </w:rPr>
        <w:t xml:space="preserve"> by the collective vision to meet the United Nations Sustainable Development Goals[6](UNSDG), in particular goals 3 and 6,[5]</w:t>
      </w:r>
    </w:p>
    <w:p w14:paraId="0000000A" w14:textId="77777777" w:rsidR="00235D5E" w:rsidRDefault="00235D5E">
      <w:pPr>
        <w:rPr>
          <w:rFonts w:ascii="Times New Roman" w:eastAsia="Times New Roman" w:hAnsi="Times New Roman" w:cs="Times New Roman"/>
          <w:i/>
        </w:rPr>
      </w:pPr>
    </w:p>
    <w:p w14:paraId="0000000B" w14:textId="77777777" w:rsidR="00235D5E" w:rsidRDefault="00661BFD">
      <w:pPr>
        <w:rPr>
          <w:rFonts w:ascii="Times New Roman" w:eastAsia="Times New Roman" w:hAnsi="Times New Roman" w:cs="Times New Roman"/>
        </w:rPr>
      </w:pPr>
      <w:r>
        <w:rPr>
          <w:rFonts w:ascii="Times New Roman" w:eastAsia="Times New Roman" w:hAnsi="Times New Roman" w:cs="Times New Roman"/>
          <w:i/>
        </w:rPr>
        <w:t>Bearing in mind</w:t>
      </w:r>
      <w:r>
        <w:rPr>
          <w:rFonts w:ascii="Times New Roman" w:eastAsia="Times New Roman" w:hAnsi="Times New Roman" w:cs="Times New Roman"/>
        </w:rPr>
        <w:t xml:space="preserve"> [4] that two thirds of the population in Yemen have been affected by this crisis in the ways of inhibited access to basic needs such as clean water and sanitation,</w:t>
      </w:r>
    </w:p>
    <w:p w14:paraId="0000000C" w14:textId="77777777" w:rsidR="00235D5E" w:rsidRDefault="00235D5E">
      <w:pPr>
        <w:rPr>
          <w:rFonts w:ascii="Times New Roman" w:eastAsia="Times New Roman" w:hAnsi="Times New Roman" w:cs="Times New Roman"/>
        </w:rPr>
      </w:pPr>
    </w:p>
    <w:p w14:paraId="0000000D" w14:textId="77777777" w:rsidR="00235D5E" w:rsidRDefault="00661BFD">
      <w:pPr>
        <w:rPr>
          <w:rFonts w:ascii="Times New Roman" w:eastAsia="Times New Roman" w:hAnsi="Times New Roman" w:cs="Times New Roman"/>
        </w:rPr>
      </w:pPr>
      <w:r>
        <w:rPr>
          <w:rFonts w:ascii="Times New Roman" w:eastAsia="Times New Roman" w:hAnsi="Times New Roman" w:cs="Times New Roman"/>
          <w:i/>
        </w:rPr>
        <w:t>Stressing</w:t>
      </w:r>
      <w:r>
        <w:rPr>
          <w:rFonts w:ascii="Times New Roman" w:eastAsia="Times New Roman" w:hAnsi="Times New Roman" w:cs="Times New Roman"/>
        </w:rPr>
        <w:t xml:space="preserve"> that there have been 103 bombings conducted by the coalition lead by Saudi Arabia, alongside Egypt, Morocco, Jordan, Sudan, the United Arab Emirates, Kuwait, Qatar, Bahrain, and Academi, in which half of them have been targeted at non-military facilities such as hospitals, schools, and housing areas,</w:t>
      </w:r>
    </w:p>
    <w:p w14:paraId="00000010" w14:textId="77777777" w:rsidR="00235D5E" w:rsidRDefault="00235D5E">
      <w:pPr>
        <w:rPr>
          <w:rFonts w:ascii="Times New Roman" w:eastAsia="Times New Roman" w:hAnsi="Times New Roman" w:cs="Times New Roman"/>
        </w:rPr>
      </w:pPr>
    </w:p>
    <w:p w14:paraId="00000011" w14:textId="77777777" w:rsidR="00235D5E" w:rsidRDefault="00661BFD">
      <w:pPr>
        <w:numPr>
          <w:ilvl w:val="0"/>
          <w:numId w:val="1"/>
        </w:numPr>
        <w:rPr>
          <w:rFonts w:ascii="Times New Roman" w:eastAsia="Times New Roman" w:hAnsi="Times New Roman" w:cs="Times New Roman"/>
        </w:rPr>
      </w:pPr>
      <w:r w:rsidRPr="00D85384">
        <w:rPr>
          <w:rFonts w:ascii="Times New Roman" w:eastAsia="Times New Roman" w:hAnsi="Times New Roman" w:cs="Times New Roman"/>
          <w:u w:val="single"/>
        </w:rPr>
        <w:t>Calls upon</w:t>
      </w:r>
      <w:r>
        <w:rPr>
          <w:rFonts w:ascii="Times New Roman" w:eastAsia="Times New Roman" w:hAnsi="Times New Roman" w:cs="Times New Roman"/>
        </w:rPr>
        <w:t xml:space="preserve"> [7]all nations in cooperation with relevant entities, state and non-state, to address the growing casualties and destabilization created by non-military factors of the conflict such as but not limited to:</w:t>
      </w:r>
    </w:p>
    <w:p w14:paraId="00000012"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[10]the growing humanitarian crisis through means such as but not limited to:</w:t>
      </w:r>
    </w:p>
    <w:p w14:paraId="00000013"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[11]lifting all air, land and sea blockades under international and Yemeni national territory without additional administrative, economic or military\ restrictions imposed,</w:t>
      </w:r>
    </w:p>
    <w:p w14:paraId="00000014"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allowing freedom of movement and entry for humanitarian organizations,</w:t>
      </w:r>
    </w:p>
    <w:p w14:paraId="00000015"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ceasing the utilization of starvation and commonly curable diseases such as cholera, diarrhea, dengue fever, et cetera, as military tactics,</w:t>
      </w:r>
    </w:p>
    <w:p w14:paraId="00000016" w14:textId="541E3578"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the expansion of financial support for relevant refugee camps such as Obock, Markazi, Kharaz, et cetera, in accordance with the growing numbers of refugees and internally displaced persons directly or indirectly resulted from the conflict,</w:t>
      </w:r>
    </w:p>
    <w:p w14:paraId="00000017"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the increasing economic instability through means such as but not limited to:</w:t>
      </w:r>
    </w:p>
    <w:p w14:paraId="00000018"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introducing higher UN searches and patrols from at Yemeni ports, stops, and trade routes to inspect and capture illegal trading of arms,</w:t>
      </w:r>
    </w:p>
    <w:p w14:paraId="00000019"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provision of aid in the form of materials and equipment for local producers and manufacturers to assist in the stabilization of the primary and secondary sectors,</w:t>
      </w:r>
    </w:p>
    <w:p w14:paraId="0000001A"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ceasing of military attacks on industrial and agricultural areas;[8]</w:t>
      </w:r>
    </w:p>
    <w:p w14:paraId="0000001B" w14:textId="77777777" w:rsidR="00235D5E" w:rsidRDefault="00661BFD">
      <w:pPr>
        <w:rPr>
          <w:rFonts w:ascii="Times New Roman" w:eastAsia="Times New Roman" w:hAnsi="Times New Roman" w:cs="Times New Roman"/>
        </w:rPr>
      </w:pPr>
      <w:r>
        <w:rPr>
          <w:rFonts w:ascii="Times New Roman" w:eastAsia="Times New Roman" w:hAnsi="Times New Roman" w:cs="Times New Roman"/>
        </w:rPr>
        <w:t>[9]</w:t>
      </w:r>
    </w:p>
    <w:p w14:paraId="0000001C" w14:textId="77777777" w:rsidR="00235D5E" w:rsidRDefault="00661BFD">
      <w:pPr>
        <w:numPr>
          <w:ilvl w:val="0"/>
          <w:numId w:val="1"/>
        </w:numPr>
        <w:rPr>
          <w:rFonts w:ascii="Times New Roman" w:eastAsia="Times New Roman" w:hAnsi="Times New Roman" w:cs="Times New Roman"/>
        </w:rPr>
      </w:pPr>
      <w:r w:rsidRPr="00D85384">
        <w:rPr>
          <w:rFonts w:ascii="Times New Roman" w:eastAsia="Times New Roman" w:hAnsi="Times New Roman" w:cs="Times New Roman"/>
          <w:u w:val="single"/>
        </w:rPr>
        <w:t>Encourages</w:t>
      </w:r>
      <w:r>
        <w:rPr>
          <w:rFonts w:ascii="Times New Roman" w:eastAsia="Times New Roman" w:hAnsi="Times New Roman" w:cs="Times New Roman"/>
        </w:rPr>
        <w:t xml:space="preserve"> nations to crack down on terrorist non-state actors such as Al Qaeda in the Arabian Peninsula, as they have not been given much attention, leading them to secure trade routes with a </w:t>
      </w:r>
      <w:r>
        <w:rPr>
          <w:rFonts w:ascii="Times New Roman" w:eastAsia="Times New Roman" w:hAnsi="Times New Roman" w:cs="Times New Roman"/>
        </w:rPr>
        <w:lastRenderedPageBreak/>
        <w:t>massive inflow of monetary resources, steady inflow of weapons, and creation of explosives so that peace is kept in the methods of:</w:t>
      </w:r>
    </w:p>
    <w:p w14:paraId="0000001D"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a long-term invited presence of Coalition forces within Yemen for the purpose of anti-terrorism,</w:t>
      </w:r>
    </w:p>
    <w:p w14:paraId="0000001E"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closing, censure and arrest of individuals and websites both inside and outside of Yemen spreading propaganda in favor of terrorist actions by relevant national authorities,</w:t>
      </w:r>
    </w:p>
    <w:p w14:paraId="0000001F"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increased material and economic support for Coalition forces by sympathetic nations,</w:t>
      </w:r>
    </w:p>
    <w:p w14:paraId="00000020"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continuation of the Red Sea blockade and the introduction of random insurgent vetting at major ports around the Middle East and Horn of Africa,</w:t>
      </w:r>
    </w:p>
    <w:p w14:paraId="00000021"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giving the same level of attention and recognizing the problem with Al Qaeda in the Arabian Peninsula is as a serious problem as the conflict between the Houthis and the Yemeni government,</w:t>
      </w:r>
    </w:p>
    <w:p w14:paraId="00000022"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blocking trade routes of Al Qaeda so that the terrorist organization is deprived of a steady inflow of cash and resources from the outside world,</w:t>
      </w:r>
    </w:p>
    <w:p w14:paraId="00000023" w14:textId="77777777" w:rsidR="00235D5E" w:rsidRDefault="00661BFD">
      <w:pPr>
        <w:numPr>
          <w:ilvl w:val="1"/>
          <w:numId w:val="1"/>
        </w:numPr>
        <w:rPr>
          <w:rFonts w:ascii="Times New Roman" w:eastAsia="Times New Roman" w:hAnsi="Times New Roman" w:cs="Times New Roman"/>
        </w:rPr>
      </w:pPr>
      <w:r>
        <w:rPr>
          <w:rFonts w:ascii="Times New Roman" w:eastAsia="Times New Roman" w:hAnsi="Times New Roman" w:cs="Times New Roman"/>
        </w:rPr>
        <w:t>cracking down on the manufacturing process, raw material, and the distribution process that involve the exploitation of explosives by:</w:t>
      </w:r>
    </w:p>
    <w:p w14:paraId="00000024"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also giving attention to Al Qaeda as the lack of attention creates opening for trade routes for Al Qaeda,</w:t>
      </w:r>
    </w:p>
    <w:p w14:paraId="00000025" w14:textId="77777777" w:rsidR="00235D5E" w:rsidRDefault="00661BFD">
      <w:pPr>
        <w:numPr>
          <w:ilvl w:val="2"/>
          <w:numId w:val="1"/>
        </w:numPr>
        <w:rPr>
          <w:rFonts w:ascii="Times New Roman" w:eastAsia="Times New Roman" w:hAnsi="Times New Roman" w:cs="Times New Roman"/>
        </w:rPr>
      </w:pPr>
      <w:r>
        <w:rPr>
          <w:rFonts w:ascii="Times New Roman" w:eastAsia="Times New Roman" w:hAnsi="Times New Roman" w:cs="Times New Roman"/>
        </w:rPr>
        <w:t>blocking illegal weapon trade routes from Iran by:</w:t>
      </w:r>
    </w:p>
    <w:p w14:paraId="5BC5A414" w14:textId="704C09D9" w:rsidR="00661BFD" w:rsidRPr="00661BFD" w:rsidRDefault="00661BFD" w:rsidP="00661BFD">
      <w:pPr>
        <w:numPr>
          <w:ilvl w:val="3"/>
          <w:numId w:val="1"/>
        </w:numPr>
        <w:rPr>
          <w:rFonts w:ascii="Times New Roman" w:eastAsia="Times New Roman" w:hAnsi="Times New Roman" w:cs="Times New Roman"/>
        </w:rPr>
      </w:pPr>
      <w:r>
        <w:rPr>
          <w:rFonts w:ascii="Times New Roman" w:eastAsia="Times New Roman" w:hAnsi="Times New Roman" w:cs="Times New Roman"/>
        </w:rPr>
        <w:t>bombing the trade routes from Iran and causing nothing to pass without inspection. [12][13][14]</w:t>
      </w:r>
    </w:p>
    <w:p w14:paraId="419FDDC8" w14:textId="2D0C0FCF" w:rsidR="00661BFD" w:rsidRDefault="00661BFD" w:rsidP="00661BFD">
      <w:pPr>
        <w:adjustRightInd w:val="0"/>
        <w:rPr>
          <w:rFonts w:ascii="TimesNewRomanPSMT" w:eastAsia="TimesNewRomanPSMT" w:cs="TimesNewRomanPSMT"/>
        </w:rPr>
      </w:pPr>
    </w:p>
    <w:p w14:paraId="42C73CFC" w14:textId="0C36755C" w:rsidR="00661BFD" w:rsidRDefault="00661BFD" w:rsidP="00661BFD">
      <w:pPr>
        <w:pBdr>
          <w:bottom w:val="single" w:sz="6" w:space="1" w:color="auto"/>
        </w:pBdr>
        <w:adjustRightInd w:val="0"/>
        <w:rPr>
          <w:rFonts w:ascii="TimesNewRomanPSMT" w:eastAsia="TimesNewRomanPSMT" w:cs="TimesNewRomanPSMT"/>
        </w:rPr>
      </w:pPr>
    </w:p>
    <w:p w14:paraId="20410445" w14:textId="794D873B" w:rsidR="006B2E81" w:rsidRDefault="006B2E81" w:rsidP="00661BFD">
      <w:pPr>
        <w:pBdr>
          <w:bottom w:val="single" w:sz="6" w:space="1" w:color="auto"/>
        </w:pBdr>
        <w:adjustRightInd w:val="0"/>
        <w:rPr>
          <w:rFonts w:ascii="TimesNewRomanPSMT" w:eastAsia="TimesNewRomanPSMT" w:cs="TimesNewRomanPSMT"/>
        </w:rPr>
      </w:pPr>
    </w:p>
    <w:p w14:paraId="2E49DD2B" w14:textId="62B6827A" w:rsidR="006B2E81" w:rsidRDefault="006B2E81" w:rsidP="00661BFD">
      <w:pPr>
        <w:pBdr>
          <w:bottom w:val="single" w:sz="6" w:space="1" w:color="auto"/>
        </w:pBdr>
        <w:adjustRightInd w:val="0"/>
        <w:rPr>
          <w:rFonts w:ascii="TimesNewRomanPSMT" w:eastAsia="TimesNewRomanPSMT" w:cs="TimesNewRomanPSMT"/>
        </w:rPr>
      </w:pPr>
    </w:p>
    <w:p w14:paraId="0EB86395" w14:textId="52D0F5C3" w:rsidR="006B2E81" w:rsidRDefault="006B2E81" w:rsidP="00661BFD">
      <w:pPr>
        <w:pBdr>
          <w:bottom w:val="single" w:sz="6" w:space="1" w:color="auto"/>
        </w:pBdr>
        <w:adjustRightInd w:val="0"/>
        <w:rPr>
          <w:rFonts w:ascii="TimesNewRomanPSMT" w:eastAsia="TimesNewRomanPSMT" w:cs="TimesNewRomanPSMT"/>
        </w:rPr>
      </w:pPr>
    </w:p>
    <w:p w14:paraId="3571213E" w14:textId="77777777" w:rsidR="006B2E81" w:rsidRDefault="006B2E81" w:rsidP="00661BFD">
      <w:pPr>
        <w:pBdr>
          <w:bottom w:val="single" w:sz="6" w:space="1" w:color="auto"/>
        </w:pBdr>
        <w:adjustRightInd w:val="0"/>
        <w:rPr>
          <w:rFonts w:ascii="TimesNewRomanPSMT" w:eastAsia="TimesNewRomanPSMT" w:cs="TimesNewRomanPSMT"/>
        </w:rPr>
      </w:pPr>
    </w:p>
    <w:p w14:paraId="49BC33DB" w14:textId="77777777" w:rsidR="00661BFD" w:rsidRDefault="00661BFD" w:rsidP="00661BFD">
      <w:pPr>
        <w:adjustRightInd w:val="0"/>
        <w:rPr>
          <w:rFonts w:ascii="TimesNewRomanPSMT" w:eastAsia="TimesNewRomanPSMT" w:cs="TimesNewRomanPSMT"/>
        </w:rPr>
      </w:pPr>
    </w:p>
    <w:p w14:paraId="184CA339" w14:textId="129DC5DC"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[1] All headers are written in full capitals</w:t>
      </w:r>
    </w:p>
    <w:p w14:paraId="4F1E7DE0"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[2] Two spaces (2 skipped lines) between header and the content</w:t>
      </w:r>
    </w:p>
    <w:p w14:paraId="5FCFCEBE"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[3] The forum name (in full capitals) is fully written (no abbreviations), followed by the specialized purpose of the committee in full capitals within parenthesis</w:t>
      </w:r>
    </w:p>
    <w:p w14:paraId="423B3D18"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[4] Preambulatory clauses begin with present participles and are italicized</w:t>
      </w:r>
    </w:p>
    <w:p w14:paraId="75A39509"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[5] Comma at the end of preambulatory clause, including the final preambulatory clause</w:t>
      </w:r>
    </w:p>
    <w:p w14:paraId="1F9979E0"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[6] Acronyms written out in the first occurrence</w:t>
      </w:r>
    </w:p>
    <w:p w14:paraId="5DE546BD"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[7] Operative clauses begin with verbs, are underlined, and begin with Arabic numerals</w:t>
      </w:r>
    </w:p>
    <w:p w14:paraId="3FD79BA0"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[8] A semicolon at the very end of each operative</w:t>
      </w:r>
    </w:p>
    <w:p w14:paraId="4D7A103B"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[9] 1 space (1 skipped line) between operative clauses</w:t>
      </w:r>
    </w:p>
    <w:p w14:paraId="5ECD8FBB"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[10] Sub-clauses begin with lower case English alphabets and are not capitalized</w:t>
      </w:r>
    </w:p>
    <w:p w14:paraId="0F0FF325"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[11] Sub-sub-clauses begin with lower case Roman numerals and are not capitalized</w:t>
      </w:r>
    </w:p>
    <w:p w14:paraId="71EF8FBB"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[12] There should be no hanging clauses</w:t>
      </w:r>
    </w:p>
    <w:p w14:paraId="0E69E91B" w14:textId="7777777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[13] Sub-sub-sub-clauses and beyond should not be in resolutions</w:t>
      </w:r>
    </w:p>
    <w:p w14:paraId="7DF412B9" w14:textId="66D56E97" w:rsidR="00661BFD" w:rsidRPr="00D85384" w:rsidRDefault="00661BFD" w:rsidP="00661BFD">
      <w:pPr>
        <w:adjustRightInd w:val="0"/>
        <w:rPr>
          <w:rFonts w:ascii="Times New Roman" w:eastAsia="TimesNewRomanPSMT" w:hAnsi="Times New Roman" w:cs="Times New Roman"/>
        </w:rPr>
      </w:pPr>
      <w:r w:rsidRPr="00D85384">
        <w:rPr>
          <w:rFonts w:ascii="Times New Roman" w:eastAsia="TimesNewRomanPSMT" w:hAnsi="Times New Roman" w:cs="Times New Roman"/>
        </w:rPr>
        <w:t>[14] Period at the end of the last clause. This is the only period in the resolution, which is, in effect, a single sentence.</w:t>
      </w:r>
    </w:p>
    <w:sectPr w:rsidR="00661BFD" w:rsidRPr="00D85384" w:rsidSect="00661BF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6DC5" w14:textId="77777777" w:rsidR="00A20F61" w:rsidRDefault="00A20F61">
      <w:pPr>
        <w:spacing w:line="240" w:lineRule="auto"/>
      </w:pPr>
      <w:r>
        <w:separator/>
      </w:r>
    </w:p>
  </w:endnote>
  <w:endnote w:type="continuationSeparator" w:id="0">
    <w:p w14:paraId="1F304559" w14:textId="77777777" w:rsidR="00A20F61" w:rsidRDefault="00A2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5D9" w14:textId="32647CC4" w:rsidR="00352CD9" w:rsidRPr="00352CD9" w:rsidRDefault="00A20F61" w:rsidP="00352CD9">
    <w:pPr>
      <w:pStyle w:val="a6"/>
      <w:jc w:val="right"/>
      <w:rPr>
        <w:rFonts w:ascii="Times New Roman" w:hAnsi="Times New Roman" w:cs="Times New Roman"/>
        <w:color w:val="000000" w:themeColor="text1"/>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AF8D" w14:textId="77777777" w:rsidR="00A20F61" w:rsidRDefault="00A20F61">
      <w:pPr>
        <w:spacing w:line="240" w:lineRule="auto"/>
      </w:pPr>
      <w:r>
        <w:separator/>
      </w:r>
    </w:p>
  </w:footnote>
  <w:footnote w:type="continuationSeparator" w:id="0">
    <w:p w14:paraId="7F9544A1" w14:textId="77777777" w:rsidR="00A20F61" w:rsidRDefault="00A20F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E66"/>
    <w:multiLevelType w:val="multilevel"/>
    <w:tmpl w:val="C00CFC46"/>
    <w:lvl w:ilvl="0">
      <w:start w:val="1"/>
      <w:numFmt w:val="decimal"/>
      <w:lvlText w:val="%1."/>
      <w:lvlJc w:val="left"/>
      <w:pPr>
        <w:ind w:left="760" w:hanging="360"/>
      </w:pPr>
      <w:rPr>
        <w:rFonts w:hint="default"/>
        <w:b w:val="0"/>
        <w:bCs w:val="0"/>
      </w:rPr>
    </w:lvl>
    <w:lvl w:ilvl="1">
      <w:start w:val="1"/>
      <w:numFmt w:val="lowerLetter"/>
      <w:lvlText w:val="%2."/>
      <w:lvlJc w:val="left"/>
      <w:pPr>
        <w:ind w:left="1534" w:hanging="400"/>
      </w:pPr>
      <w:rPr>
        <w:rFonts w:hint="eastAsia"/>
      </w:rPr>
    </w:lvl>
    <w:lvl w:ilvl="2">
      <w:start w:val="1"/>
      <w:numFmt w:val="lowerRoman"/>
      <w:lvlText w:val="%3."/>
      <w:lvlJc w:val="right"/>
      <w:pPr>
        <w:ind w:left="1600" w:hanging="400"/>
      </w:pPr>
      <w:rPr>
        <w:rFonts w:hint="eastAsia"/>
      </w:rPr>
    </w:lvl>
    <w:lvl w:ilvl="3">
      <w:start w:val="1"/>
      <w:numFmt w:val="decimal"/>
      <w:lvlText w:val="%4."/>
      <w:lvlJc w:val="left"/>
      <w:pPr>
        <w:ind w:left="967"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1" w15:restartNumberingAfterBreak="0">
    <w:nsid w:val="66243427"/>
    <w:multiLevelType w:val="multilevel"/>
    <w:tmpl w:val="01A20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334242"/>
    <w:multiLevelType w:val="multilevel"/>
    <w:tmpl w:val="D15A2620"/>
    <w:lvl w:ilvl="0">
      <w:start w:val="1"/>
      <w:numFmt w:val="decimal"/>
      <w:lvlText w:val="%1."/>
      <w:lvlJc w:val="left"/>
      <w:pPr>
        <w:ind w:left="760" w:hanging="360"/>
      </w:pPr>
      <w:rPr>
        <w:rFonts w:hint="default"/>
        <w:b w:val="0"/>
        <w:bCs w:val="0"/>
      </w:rPr>
    </w:lvl>
    <w:lvl w:ilvl="1">
      <w:start w:val="1"/>
      <w:numFmt w:val="lowerLetter"/>
      <w:lvlText w:val="%2."/>
      <w:lvlJc w:val="left"/>
      <w:pPr>
        <w:ind w:left="1200" w:hanging="400"/>
      </w:pPr>
      <w:rPr>
        <w:rFonts w:hint="eastAsia"/>
        <w:b w:val="0"/>
        <w:bCs w:val="0"/>
      </w:rPr>
    </w:lvl>
    <w:lvl w:ilvl="2">
      <w:start w:val="1"/>
      <w:numFmt w:val="lowerRoman"/>
      <w:lvlText w:val="%3."/>
      <w:lvlJc w:val="right"/>
      <w:pPr>
        <w:ind w:left="1600" w:hanging="400"/>
      </w:pPr>
      <w:rPr>
        <w:rFonts w:hint="eastAsia"/>
      </w:rPr>
    </w:lvl>
    <w:lvl w:ilvl="3">
      <w:start w:val="1"/>
      <w:numFmt w:val="decimal"/>
      <w:lvlText w:val="%4."/>
      <w:lvlJc w:val="left"/>
      <w:pPr>
        <w:ind w:left="967"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5E"/>
    <w:rsid w:val="00102AEC"/>
    <w:rsid w:val="002332B5"/>
    <w:rsid w:val="00235D5E"/>
    <w:rsid w:val="004F70BC"/>
    <w:rsid w:val="005875A7"/>
    <w:rsid w:val="00661BFD"/>
    <w:rsid w:val="00675070"/>
    <w:rsid w:val="006B2E81"/>
    <w:rsid w:val="00A20F61"/>
    <w:rsid w:val="00D85384"/>
    <w:rsid w:val="00DA0AB2"/>
    <w:rsid w:val="00FD58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EA65"/>
  <w15:docId w15:val="{515DBCF1-4BC2-4F6F-A946-5D26F97A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661BFD"/>
    <w:pPr>
      <w:widowControl w:val="0"/>
      <w:wordWrap w:val="0"/>
      <w:autoSpaceDE w:val="0"/>
      <w:autoSpaceDN w:val="0"/>
      <w:spacing w:line="240" w:lineRule="auto"/>
      <w:ind w:leftChars="400" w:left="800"/>
      <w:jc w:val="both"/>
    </w:pPr>
    <w:rPr>
      <w:rFonts w:asciiTheme="minorHAnsi" w:hAnsiTheme="minorHAnsi" w:cstheme="minorBidi"/>
      <w:kern w:val="2"/>
      <w:sz w:val="20"/>
      <w:lang w:val="en-US"/>
    </w:rPr>
  </w:style>
  <w:style w:type="paragraph" w:styleId="a6">
    <w:name w:val="footer"/>
    <w:basedOn w:val="a"/>
    <w:link w:val="Char"/>
    <w:uiPriority w:val="99"/>
    <w:unhideWhenUsed/>
    <w:rsid w:val="00661BFD"/>
    <w:pPr>
      <w:widowControl w:val="0"/>
      <w:tabs>
        <w:tab w:val="center" w:pos="4513"/>
        <w:tab w:val="right" w:pos="9026"/>
      </w:tabs>
      <w:wordWrap w:val="0"/>
      <w:autoSpaceDE w:val="0"/>
      <w:autoSpaceDN w:val="0"/>
      <w:snapToGrid w:val="0"/>
      <w:spacing w:line="240" w:lineRule="auto"/>
      <w:jc w:val="both"/>
    </w:pPr>
    <w:rPr>
      <w:rFonts w:asciiTheme="minorHAnsi" w:hAnsiTheme="minorHAnsi" w:cstheme="minorBidi"/>
      <w:kern w:val="2"/>
      <w:sz w:val="20"/>
      <w:lang w:val="en-US"/>
    </w:rPr>
  </w:style>
  <w:style w:type="character" w:customStyle="1" w:styleId="Char">
    <w:name w:val="바닥글 Char"/>
    <w:basedOn w:val="a0"/>
    <w:link w:val="a6"/>
    <w:uiPriority w:val="99"/>
    <w:rsid w:val="00661BFD"/>
    <w:rPr>
      <w:rFonts w:asciiTheme="minorHAnsi" w:hAnsiTheme="minorHAnsi" w:cstheme="minorBidi"/>
      <w:kern w:val="2"/>
      <w:sz w:val="20"/>
      <w:lang w:val="en-US"/>
    </w:rPr>
  </w:style>
  <w:style w:type="paragraph" w:styleId="a7">
    <w:name w:val="header"/>
    <w:basedOn w:val="a"/>
    <w:link w:val="Char0"/>
    <w:uiPriority w:val="99"/>
    <w:unhideWhenUsed/>
    <w:rsid w:val="006B2E81"/>
    <w:pPr>
      <w:tabs>
        <w:tab w:val="center" w:pos="4513"/>
        <w:tab w:val="right" w:pos="9026"/>
      </w:tabs>
      <w:snapToGrid w:val="0"/>
    </w:pPr>
  </w:style>
  <w:style w:type="character" w:customStyle="1" w:styleId="Char0">
    <w:name w:val="머리글 Char"/>
    <w:basedOn w:val="a0"/>
    <w:link w:val="a7"/>
    <w:uiPriority w:val="99"/>
    <w:rsid w:val="006B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Kim</dc:creator>
  <cp:lastModifiedBy>신 승원</cp:lastModifiedBy>
  <cp:revision>3</cp:revision>
  <dcterms:created xsi:type="dcterms:W3CDTF">2021-01-06T14:00:00Z</dcterms:created>
  <dcterms:modified xsi:type="dcterms:W3CDTF">2021-08-20T05:53:00Z</dcterms:modified>
</cp:coreProperties>
</file>